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683" w:rsidRPr="00C67151" w:rsidRDefault="00DB7F48">
      <w:pPr>
        <w:spacing w:line="640" w:lineRule="exact"/>
        <w:jc w:val="center"/>
        <w:rPr>
          <w:rFonts w:ascii="方正小标宋简体" w:eastAsia="方正小标宋简体"/>
          <w:sz w:val="44"/>
          <w:szCs w:val="44"/>
        </w:rPr>
      </w:pPr>
      <w:r w:rsidRPr="00C67151">
        <w:rPr>
          <w:rFonts w:ascii="方正小标宋简体" w:eastAsia="方正小标宋简体" w:hint="eastAsia"/>
          <w:sz w:val="44"/>
          <w:szCs w:val="44"/>
        </w:rPr>
        <w:t>恩平市商业与住宅用地容积率管理办法</w:t>
      </w:r>
    </w:p>
    <w:p w:rsidR="002A2683" w:rsidRPr="00C67151" w:rsidRDefault="00DB7F48">
      <w:pPr>
        <w:spacing w:line="640" w:lineRule="exact"/>
        <w:jc w:val="center"/>
        <w:rPr>
          <w:rFonts w:ascii="方正小标宋简体" w:eastAsia="方正小标宋简体"/>
          <w:sz w:val="44"/>
          <w:szCs w:val="44"/>
        </w:rPr>
      </w:pPr>
      <w:r w:rsidRPr="00C67151">
        <w:rPr>
          <w:rFonts w:ascii="方正小标宋简体" w:eastAsia="方正小标宋简体" w:hint="eastAsia"/>
          <w:sz w:val="44"/>
          <w:szCs w:val="44"/>
        </w:rPr>
        <w:t>（202</w:t>
      </w:r>
      <w:r w:rsidR="00627A7B" w:rsidRPr="00C67151">
        <w:rPr>
          <w:rFonts w:ascii="方正小标宋简体" w:eastAsia="方正小标宋简体" w:hint="eastAsia"/>
          <w:sz w:val="44"/>
          <w:szCs w:val="44"/>
        </w:rPr>
        <w:t>4</w:t>
      </w:r>
      <w:r w:rsidRPr="00C67151">
        <w:rPr>
          <w:rFonts w:ascii="方正小标宋简体" w:eastAsia="方正小标宋简体" w:hint="eastAsia"/>
          <w:sz w:val="44"/>
          <w:szCs w:val="44"/>
        </w:rPr>
        <w:t>年修改稿）</w:t>
      </w:r>
    </w:p>
    <w:p w:rsidR="002A2683" w:rsidRPr="00C67151" w:rsidRDefault="002A2683">
      <w:pPr>
        <w:ind w:firstLineChars="200" w:firstLine="636"/>
      </w:pPr>
    </w:p>
    <w:p w:rsidR="002A2683" w:rsidRPr="00C67151" w:rsidRDefault="00DB7F48" w:rsidP="003A1204">
      <w:pPr>
        <w:ind w:firstLineChars="200" w:firstLine="638"/>
      </w:pPr>
      <w:r w:rsidRPr="00C67151">
        <w:rPr>
          <w:rFonts w:hint="eastAsia"/>
          <w:b/>
        </w:rPr>
        <w:t>第一条</w:t>
      </w:r>
      <w:r w:rsidRPr="00C67151">
        <w:rPr>
          <w:rFonts w:hint="eastAsia"/>
        </w:rPr>
        <w:t xml:space="preserve">  </w:t>
      </w:r>
      <w:r w:rsidRPr="00C67151">
        <w:rPr>
          <w:rFonts w:hint="eastAsia"/>
        </w:rPr>
        <w:t>为规范商业与住宅用地出让土地规划条件的制定，明确容积率的规划管理，根据《中华人民共和国城乡规划法》、《建设用地容积率管理办法》（建规〔</w:t>
      </w:r>
      <w:r w:rsidRPr="00C67151">
        <w:rPr>
          <w:rFonts w:hint="eastAsia"/>
        </w:rPr>
        <w:t>2012</w:t>
      </w:r>
      <w:r w:rsidRPr="00C67151">
        <w:rPr>
          <w:rFonts w:hint="eastAsia"/>
        </w:rPr>
        <w:t>〕</w:t>
      </w:r>
      <w:r w:rsidRPr="00C67151">
        <w:rPr>
          <w:rFonts w:hint="eastAsia"/>
        </w:rPr>
        <w:t>22</w:t>
      </w:r>
      <w:r w:rsidRPr="00C67151">
        <w:rPr>
          <w:rFonts w:hint="eastAsia"/>
        </w:rPr>
        <w:t>号）、《城市、镇控制性详细规划编制审批办法》（中华人民共和国住房和城乡建设部令第</w:t>
      </w:r>
      <w:r w:rsidRPr="00C67151">
        <w:rPr>
          <w:rFonts w:hint="eastAsia"/>
        </w:rPr>
        <w:t>7</w:t>
      </w:r>
      <w:r w:rsidRPr="00C67151">
        <w:rPr>
          <w:rFonts w:hint="eastAsia"/>
        </w:rPr>
        <w:t>号）和《广东省城市控制性详细规划管理条例》，结合本市实际，制定本办法。</w:t>
      </w:r>
    </w:p>
    <w:p w:rsidR="002A2683" w:rsidRPr="00C67151" w:rsidRDefault="00DB7F48" w:rsidP="003A1204">
      <w:pPr>
        <w:ind w:firstLineChars="200" w:firstLine="638"/>
      </w:pPr>
      <w:r w:rsidRPr="00C67151">
        <w:rPr>
          <w:rFonts w:hint="eastAsia"/>
          <w:b/>
        </w:rPr>
        <w:t>第二条</w:t>
      </w:r>
      <w:r w:rsidRPr="00C67151">
        <w:rPr>
          <w:rFonts w:hint="eastAsia"/>
        </w:rPr>
        <w:t xml:space="preserve">  </w:t>
      </w:r>
      <w:r w:rsidRPr="00C67151">
        <w:rPr>
          <w:rFonts w:hint="eastAsia"/>
        </w:rPr>
        <w:t>在恩平市行政区域范围内的商业与住宅用地的出让和开发中涉及容积率确定和调整的，适用本办法。</w:t>
      </w:r>
    </w:p>
    <w:p w:rsidR="002A2683" w:rsidRPr="00C67151" w:rsidRDefault="00DB7F48" w:rsidP="003A1204">
      <w:pPr>
        <w:ind w:firstLineChars="200" w:firstLine="638"/>
      </w:pPr>
      <w:r w:rsidRPr="00C67151">
        <w:rPr>
          <w:rFonts w:hint="eastAsia"/>
          <w:b/>
        </w:rPr>
        <w:t>第三条</w:t>
      </w:r>
      <w:r w:rsidRPr="00C67151">
        <w:rPr>
          <w:rFonts w:hint="eastAsia"/>
        </w:rPr>
        <w:t xml:space="preserve">  </w:t>
      </w:r>
      <w:r w:rsidRPr="00C67151">
        <w:rPr>
          <w:rFonts w:hint="eastAsia"/>
        </w:rPr>
        <w:t>规划条件作为国有土地出让合同的组成部分，是土地出让和开发建设的法定依据，规划条件的确定和调整以控制性详细规划为依据。</w:t>
      </w:r>
    </w:p>
    <w:p w:rsidR="002A2683" w:rsidRPr="00C67151" w:rsidRDefault="00DB7F48" w:rsidP="003A1204">
      <w:pPr>
        <w:ind w:firstLineChars="200" w:firstLine="638"/>
      </w:pPr>
      <w:r w:rsidRPr="00C67151">
        <w:rPr>
          <w:rFonts w:hint="eastAsia"/>
          <w:b/>
        </w:rPr>
        <w:t>第四条</w:t>
      </w:r>
      <w:r w:rsidRPr="00C67151">
        <w:rPr>
          <w:rFonts w:hint="eastAsia"/>
        </w:rPr>
        <w:t xml:space="preserve">  </w:t>
      </w:r>
      <w:r w:rsidRPr="00C67151">
        <w:rPr>
          <w:rFonts w:hint="eastAsia"/>
        </w:rPr>
        <w:t>任何单位和个人都应当遵守经依法批准的控制性详细规划确定的容积率指标，不得随意调整。确需调整的，应当按本办法的规定，按照相关法律、法规修改地块所在的控制性详细规划，不得以政府会议纪要等形式代替规定程序调整容积率。</w:t>
      </w:r>
    </w:p>
    <w:p w:rsidR="002A2683" w:rsidRPr="00C67151" w:rsidRDefault="00DB7F48" w:rsidP="003A1204">
      <w:pPr>
        <w:ind w:firstLineChars="200" w:firstLine="638"/>
      </w:pPr>
      <w:r w:rsidRPr="00C67151">
        <w:rPr>
          <w:rFonts w:hint="eastAsia"/>
          <w:b/>
        </w:rPr>
        <w:t>第五条</w:t>
      </w:r>
      <w:r w:rsidRPr="00C67151">
        <w:rPr>
          <w:rFonts w:hint="eastAsia"/>
        </w:rPr>
        <w:t xml:space="preserve">  </w:t>
      </w:r>
      <w:r w:rsidRPr="00C67151">
        <w:rPr>
          <w:rFonts w:hint="eastAsia"/>
        </w:rPr>
        <w:t>本办法实施前已出让的商业与住宅用地的容积率，在不超出控制性详细规划确定的上限前提下，按如下办法确定：</w:t>
      </w:r>
    </w:p>
    <w:p w:rsidR="002A2683" w:rsidRPr="00C67151" w:rsidRDefault="00DB7F48">
      <w:pPr>
        <w:ind w:firstLineChars="200" w:firstLine="636"/>
      </w:pPr>
      <w:r w:rsidRPr="00C67151">
        <w:rPr>
          <w:rFonts w:hint="eastAsia"/>
        </w:rPr>
        <w:t>（一）土地出让时，市职能部门出具了建设用地规划许可证</w:t>
      </w:r>
      <w:r w:rsidRPr="00C67151">
        <w:rPr>
          <w:rFonts w:hint="eastAsia"/>
        </w:rPr>
        <w:lastRenderedPageBreak/>
        <w:t>和规划条件并作为土地出让合同附件的，或土地出让合同明确约定条件的，按合同约定的规划条件执行。</w:t>
      </w:r>
    </w:p>
    <w:p w:rsidR="002A2683" w:rsidRPr="00C67151" w:rsidRDefault="00DB7F48">
      <w:pPr>
        <w:ind w:firstLineChars="200" w:firstLine="636"/>
      </w:pPr>
      <w:r w:rsidRPr="00C67151">
        <w:rPr>
          <w:rFonts w:hint="eastAsia"/>
        </w:rPr>
        <w:t>（二）土地出让时未明确规划设计条件</w:t>
      </w:r>
      <w:r w:rsidR="0080629C" w:rsidRPr="00C67151">
        <w:rPr>
          <w:rFonts w:hint="eastAsia"/>
        </w:rPr>
        <w:t>（容积率）</w:t>
      </w:r>
      <w:r w:rsidRPr="00C67151">
        <w:rPr>
          <w:rFonts w:hint="eastAsia"/>
        </w:rPr>
        <w:t>，但取得不动产权证书后经市职能部门补发过规划条件</w:t>
      </w:r>
      <w:r w:rsidR="0080629C" w:rsidRPr="00C67151">
        <w:rPr>
          <w:rFonts w:hint="eastAsia"/>
        </w:rPr>
        <w:t>（容积率）</w:t>
      </w:r>
      <w:r w:rsidRPr="00C67151">
        <w:rPr>
          <w:rFonts w:hint="eastAsia"/>
        </w:rPr>
        <w:t>，且在有效期内的（有效期指批准规划时确定的有效时间；批准规划时未明确有效期的，自本办法生效之日起，有效期为</w:t>
      </w:r>
      <w:r w:rsidRPr="00C67151">
        <w:rPr>
          <w:rFonts w:hint="eastAsia"/>
        </w:rPr>
        <w:t>1</w:t>
      </w:r>
      <w:r w:rsidRPr="00C67151">
        <w:rPr>
          <w:rFonts w:hint="eastAsia"/>
        </w:rPr>
        <w:t>年），按批准的规划指标</w:t>
      </w:r>
      <w:r w:rsidR="0080629C" w:rsidRPr="00C67151">
        <w:rPr>
          <w:rFonts w:hint="eastAsia"/>
        </w:rPr>
        <w:t>（容积率）</w:t>
      </w:r>
      <w:r w:rsidRPr="00C67151">
        <w:rPr>
          <w:rFonts w:hint="eastAsia"/>
        </w:rPr>
        <w:t>确定；如多次出具规划条件</w:t>
      </w:r>
      <w:r w:rsidR="0080629C" w:rsidRPr="00C67151">
        <w:rPr>
          <w:rFonts w:hint="eastAsia"/>
        </w:rPr>
        <w:t>（容积率）</w:t>
      </w:r>
      <w:r w:rsidRPr="00C67151">
        <w:rPr>
          <w:rFonts w:hint="eastAsia"/>
        </w:rPr>
        <w:t>且在有效期内的，按最后批准的规划条件</w:t>
      </w:r>
      <w:r w:rsidR="0080629C" w:rsidRPr="00C67151">
        <w:rPr>
          <w:rFonts w:hint="eastAsia"/>
        </w:rPr>
        <w:t>（容积率）</w:t>
      </w:r>
      <w:r w:rsidRPr="00C67151">
        <w:rPr>
          <w:rFonts w:hint="eastAsia"/>
        </w:rPr>
        <w:t>执行；已过有效期的，按本条第（五）项的规定认定。</w:t>
      </w:r>
    </w:p>
    <w:p w:rsidR="002A2683" w:rsidRPr="00C67151" w:rsidRDefault="00DB7F48">
      <w:pPr>
        <w:ind w:firstLineChars="200" w:firstLine="636"/>
      </w:pPr>
      <w:r w:rsidRPr="00C67151">
        <w:rPr>
          <w:rFonts w:hint="eastAsia"/>
        </w:rPr>
        <w:t>（三）未明确规划设计条件，后经批准规划行政许可的（含修建性详细规划、建设工程设计方案总平面图、建设工程规划许可证），按批准的规划指标执行，曾多次批准的，按最后批准的规划指标执行。</w:t>
      </w:r>
    </w:p>
    <w:p w:rsidR="002A2683" w:rsidRPr="00C67151" w:rsidRDefault="00DB7F48">
      <w:pPr>
        <w:ind w:firstLineChars="200" w:firstLine="636"/>
      </w:pPr>
      <w:bookmarkStart w:id="0" w:name="_GoBack"/>
      <w:r w:rsidRPr="00C67151">
        <w:rPr>
          <w:rFonts w:hint="eastAsia"/>
        </w:rPr>
        <w:t>（四）既有规划条件，又有批准修建性详细规划指标的，如两者容积率不同的，容积率按高值执行。</w:t>
      </w:r>
    </w:p>
    <w:bookmarkEnd w:id="0"/>
    <w:p w:rsidR="002A2683" w:rsidRPr="00C67151" w:rsidRDefault="00DB7F48">
      <w:pPr>
        <w:ind w:firstLineChars="200" w:firstLine="636"/>
      </w:pPr>
      <w:r w:rsidRPr="00C67151">
        <w:rPr>
          <w:rFonts w:hint="eastAsia"/>
        </w:rPr>
        <w:t>（五）既未明确规划设计条件，也无经批准规划行政许可的（含修建性详细规划、建设工程设计方案总平面图、建设工程规划许可证），容积率按以下办法认定：</w:t>
      </w:r>
    </w:p>
    <w:p w:rsidR="002A2683" w:rsidRPr="00C67151" w:rsidRDefault="00DB7F48">
      <w:pPr>
        <w:ind w:firstLineChars="200" w:firstLine="636"/>
      </w:pPr>
      <w:r w:rsidRPr="00C67151">
        <w:rPr>
          <w:rFonts w:hint="eastAsia"/>
        </w:rPr>
        <w:t>1</w:t>
      </w:r>
      <w:r w:rsidRPr="00C67151">
        <w:rPr>
          <w:rFonts w:hint="eastAsia"/>
        </w:rPr>
        <w:t>．属恩平市中心城区范围的（按《恩平市国土空间总体规划（</w:t>
      </w:r>
      <w:r w:rsidRPr="00C67151">
        <w:rPr>
          <w:rFonts w:hint="eastAsia"/>
        </w:rPr>
        <w:t>2021-2035</w:t>
      </w:r>
      <w:r w:rsidRPr="00C67151">
        <w:rPr>
          <w:rFonts w:hint="eastAsia"/>
        </w:rPr>
        <w:t>年）》确定的范围，面积约</w:t>
      </w:r>
      <w:r w:rsidRPr="00C67151">
        <w:rPr>
          <w:rFonts w:hint="eastAsia"/>
        </w:rPr>
        <w:t>95.</w:t>
      </w:r>
      <w:r w:rsidR="003A1204" w:rsidRPr="00C67151">
        <w:rPr>
          <w:rFonts w:hint="eastAsia"/>
        </w:rPr>
        <w:t>70</w:t>
      </w:r>
      <w:r w:rsidR="003A1204" w:rsidRPr="00C67151">
        <w:rPr>
          <w:rFonts w:hint="eastAsia"/>
        </w:rPr>
        <w:t>平方公里）</w:t>
      </w:r>
      <w:r w:rsidRPr="00C67151">
        <w:rPr>
          <w:rFonts w:hint="eastAsia"/>
        </w:rPr>
        <w:t>商业</w:t>
      </w:r>
      <w:r w:rsidR="003A1204" w:rsidRPr="00C67151">
        <w:rPr>
          <w:rFonts w:hint="eastAsia"/>
        </w:rPr>
        <w:t>与住宅</w:t>
      </w:r>
      <w:r w:rsidRPr="00C67151">
        <w:rPr>
          <w:rFonts w:hint="eastAsia"/>
        </w:rPr>
        <w:t>用地容积率按下表分级认定：</w:t>
      </w:r>
    </w:p>
    <w:p w:rsidR="002A2683" w:rsidRPr="00C67151" w:rsidRDefault="002A2683">
      <w:pPr>
        <w:ind w:firstLineChars="200" w:firstLine="636"/>
      </w:pPr>
    </w:p>
    <w:p w:rsidR="002A2683" w:rsidRPr="00C67151" w:rsidRDefault="00DB7F48">
      <w:pPr>
        <w:ind w:firstLineChars="200" w:firstLine="636"/>
      </w:pPr>
      <w:r w:rsidRPr="00C67151">
        <w:rPr>
          <w:rFonts w:hint="eastAsia"/>
        </w:rPr>
        <w:t>恩平市中心城区商业</w:t>
      </w:r>
      <w:r w:rsidR="003A1204" w:rsidRPr="00C67151">
        <w:rPr>
          <w:rFonts w:hint="eastAsia"/>
        </w:rPr>
        <w:t>与住宅</w:t>
      </w:r>
      <w:r w:rsidRPr="00C67151">
        <w:rPr>
          <w:rFonts w:hint="eastAsia"/>
        </w:rPr>
        <w:t>用地容积率分级表</w:t>
      </w:r>
    </w:p>
    <w:tbl>
      <w:tblPr>
        <w:tblW w:w="36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6"/>
        <w:gridCol w:w="1889"/>
        <w:gridCol w:w="1548"/>
        <w:gridCol w:w="1920"/>
      </w:tblGrid>
      <w:tr w:rsidR="002A2683" w:rsidRPr="00C67151" w:rsidTr="0082113B">
        <w:trPr>
          <w:cantSplit/>
          <w:trHeight w:val="272"/>
          <w:tblHeader/>
          <w:jc w:val="center"/>
        </w:trPr>
        <w:tc>
          <w:tcPr>
            <w:tcW w:w="1016" w:type="pct"/>
            <w:shd w:val="clear" w:color="auto" w:fill="auto"/>
            <w:vAlign w:val="center"/>
          </w:tcPr>
          <w:p w:rsidR="002A2683" w:rsidRPr="00C67151" w:rsidRDefault="00DB7F48">
            <w:pPr>
              <w:adjustRightInd w:val="0"/>
              <w:snapToGrid w:val="0"/>
              <w:jc w:val="center"/>
              <w:rPr>
                <w:spacing w:val="-16"/>
                <w:kern w:val="0"/>
                <w:sz w:val="24"/>
              </w:rPr>
            </w:pPr>
            <w:r w:rsidRPr="00C67151">
              <w:rPr>
                <w:spacing w:val="-16"/>
                <w:kern w:val="0"/>
                <w:sz w:val="24"/>
              </w:rPr>
              <w:t>级别</w:t>
            </w:r>
          </w:p>
        </w:tc>
        <w:tc>
          <w:tcPr>
            <w:tcW w:w="1405" w:type="pct"/>
            <w:shd w:val="clear" w:color="auto" w:fill="auto"/>
            <w:vAlign w:val="center"/>
          </w:tcPr>
          <w:p w:rsidR="002A2683" w:rsidRPr="00C67151" w:rsidRDefault="00DB7F48">
            <w:pPr>
              <w:adjustRightInd w:val="0"/>
              <w:snapToGrid w:val="0"/>
              <w:jc w:val="center"/>
              <w:rPr>
                <w:spacing w:val="-16"/>
                <w:kern w:val="0"/>
                <w:sz w:val="24"/>
              </w:rPr>
            </w:pPr>
            <w:r w:rsidRPr="00C67151">
              <w:rPr>
                <w:spacing w:val="-16"/>
                <w:kern w:val="0"/>
                <w:sz w:val="24"/>
              </w:rPr>
              <w:t>面积</w:t>
            </w:r>
            <w:r w:rsidRPr="00C67151">
              <w:rPr>
                <w:rFonts w:hint="eastAsia"/>
                <w:spacing w:val="-16"/>
                <w:kern w:val="0"/>
                <w:sz w:val="24"/>
              </w:rPr>
              <w:t>(</w:t>
            </w:r>
            <w:r w:rsidRPr="00C67151">
              <w:rPr>
                <w:rFonts w:hint="eastAsia"/>
                <w:spacing w:val="-16"/>
                <w:kern w:val="0"/>
                <w:sz w:val="24"/>
              </w:rPr>
              <w:t>平方公里</w:t>
            </w:r>
            <w:r w:rsidRPr="00C67151">
              <w:rPr>
                <w:rFonts w:hint="eastAsia"/>
                <w:spacing w:val="-16"/>
                <w:kern w:val="0"/>
                <w:sz w:val="24"/>
              </w:rPr>
              <w:t>)</w:t>
            </w:r>
          </w:p>
        </w:tc>
        <w:tc>
          <w:tcPr>
            <w:tcW w:w="1151" w:type="pct"/>
            <w:shd w:val="clear" w:color="auto" w:fill="auto"/>
            <w:vAlign w:val="center"/>
          </w:tcPr>
          <w:p w:rsidR="002A2683" w:rsidRPr="00C67151" w:rsidRDefault="00DB7F48">
            <w:pPr>
              <w:adjustRightInd w:val="0"/>
              <w:snapToGrid w:val="0"/>
              <w:jc w:val="center"/>
              <w:rPr>
                <w:spacing w:val="-16"/>
                <w:kern w:val="0"/>
                <w:sz w:val="24"/>
              </w:rPr>
            </w:pPr>
            <w:r w:rsidRPr="00C67151">
              <w:rPr>
                <w:rFonts w:hint="eastAsia"/>
                <w:spacing w:val="-16"/>
                <w:kern w:val="0"/>
                <w:sz w:val="24"/>
              </w:rPr>
              <w:t>容积率上限</w:t>
            </w:r>
          </w:p>
        </w:tc>
        <w:tc>
          <w:tcPr>
            <w:tcW w:w="1428" w:type="pct"/>
            <w:shd w:val="clear" w:color="auto" w:fill="auto"/>
            <w:vAlign w:val="center"/>
          </w:tcPr>
          <w:p w:rsidR="002A2683" w:rsidRPr="00C67151" w:rsidRDefault="00DB7F48">
            <w:pPr>
              <w:adjustRightInd w:val="0"/>
              <w:snapToGrid w:val="0"/>
              <w:jc w:val="center"/>
              <w:rPr>
                <w:spacing w:val="-16"/>
                <w:kern w:val="0"/>
                <w:sz w:val="24"/>
              </w:rPr>
            </w:pPr>
            <w:r w:rsidRPr="00C67151">
              <w:rPr>
                <w:spacing w:val="-16"/>
                <w:kern w:val="0"/>
                <w:sz w:val="24"/>
              </w:rPr>
              <w:t>级别范围</w:t>
            </w:r>
          </w:p>
        </w:tc>
      </w:tr>
      <w:tr w:rsidR="0082113B" w:rsidRPr="00C67151" w:rsidTr="0082113B">
        <w:trPr>
          <w:cantSplit/>
          <w:trHeight w:val="312"/>
          <w:jc w:val="center"/>
        </w:trPr>
        <w:tc>
          <w:tcPr>
            <w:tcW w:w="1016" w:type="pct"/>
            <w:shd w:val="clear" w:color="auto" w:fill="auto"/>
            <w:vAlign w:val="center"/>
          </w:tcPr>
          <w:p w:rsidR="0082113B" w:rsidRPr="00C67151" w:rsidRDefault="0082113B">
            <w:pPr>
              <w:adjustRightInd w:val="0"/>
              <w:snapToGrid w:val="0"/>
              <w:jc w:val="center"/>
              <w:rPr>
                <w:kern w:val="0"/>
                <w:sz w:val="24"/>
                <w:shd w:val="clear" w:color="auto" w:fill="FFFFFF"/>
              </w:rPr>
            </w:pPr>
            <w:r w:rsidRPr="00C67151">
              <w:rPr>
                <w:kern w:val="0"/>
                <w:sz w:val="24"/>
                <w:shd w:val="clear" w:color="auto" w:fill="FFFFFF"/>
              </w:rPr>
              <w:t>Ⅰ</w:t>
            </w:r>
            <w:r w:rsidRPr="00C67151">
              <w:rPr>
                <w:kern w:val="0"/>
                <w:sz w:val="24"/>
                <w:shd w:val="clear" w:color="auto" w:fill="FFFFFF"/>
              </w:rPr>
              <w:t>级</w:t>
            </w:r>
          </w:p>
        </w:tc>
        <w:tc>
          <w:tcPr>
            <w:tcW w:w="1405" w:type="pct"/>
            <w:shd w:val="clear" w:color="auto" w:fill="auto"/>
            <w:vAlign w:val="center"/>
          </w:tcPr>
          <w:p w:rsidR="0082113B" w:rsidRPr="00C67151" w:rsidRDefault="0082113B" w:rsidP="00110633">
            <w:pPr>
              <w:adjustRightInd w:val="0"/>
              <w:snapToGrid w:val="0"/>
              <w:jc w:val="center"/>
              <w:rPr>
                <w:sz w:val="24"/>
              </w:rPr>
            </w:pPr>
            <w:r w:rsidRPr="00C67151">
              <w:rPr>
                <w:sz w:val="24"/>
              </w:rPr>
              <w:t>6.28</w:t>
            </w:r>
          </w:p>
        </w:tc>
        <w:tc>
          <w:tcPr>
            <w:tcW w:w="1151" w:type="pct"/>
            <w:shd w:val="clear" w:color="auto" w:fill="auto"/>
            <w:vAlign w:val="center"/>
          </w:tcPr>
          <w:p w:rsidR="0082113B" w:rsidRPr="00C67151" w:rsidRDefault="0082113B">
            <w:pPr>
              <w:adjustRightInd w:val="0"/>
              <w:snapToGrid w:val="0"/>
              <w:jc w:val="center"/>
              <w:rPr>
                <w:sz w:val="24"/>
              </w:rPr>
            </w:pPr>
            <w:r w:rsidRPr="00C67151">
              <w:rPr>
                <w:sz w:val="24"/>
              </w:rPr>
              <w:t>2.9</w:t>
            </w:r>
          </w:p>
        </w:tc>
        <w:tc>
          <w:tcPr>
            <w:tcW w:w="1428" w:type="pct"/>
            <w:vMerge w:val="restart"/>
            <w:shd w:val="clear" w:color="auto" w:fill="auto"/>
            <w:vAlign w:val="center"/>
          </w:tcPr>
          <w:p w:rsidR="0082113B" w:rsidRPr="00C67151" w:rsidRDefault="0082113B">
            <w:pPr>
              <w:adjustRightInd w:val="0"/>
              <w:snapToGrid w:val="0"/>
              <w:jc w:val="center"/>
              <w:rPr>
                <w:kern w:val="0"/>
                <w:sz w:val="24"/>
                <w:shd w:val="clear" w:color="auto" w:fill="FFFFFF"/>
              </w:rPr>
            </w:pPr>
            <w:r w:rsidRPr="00C67151">
              <w:rPr>
                <w:rFonts w:hint="eastAsia"/>
                <w:kern w:val="0"/>
                <w:sz w:val="24"/>
                <w:shd w:val="clear" w:color="auto" w:fill="FFFFFF"/>
              </w:rPr>
              <w:t>见附图</w:t>
            </w:r>
          </w:p>
        </w:tc>
      </w:tr>
      <w:tr w:rsidR="0082113B" w:rsidRPr="00C67151" w:rsidTr="0082113B">
        <w:trPr>
          <w:cantSplit/>
          <w:trHeight w:val="312"/>
          <w:jc w:val="center"/>
        </w:trPr>
        <w:tc>
          <w:tcPr>
            <w:tcW w:w="1016" w:type="pct"/>
            <w:shd w:val="clear" w:color="auto" w:fill="auto"/>
            <w:vAlign w:val="center"/>
          </w:tcPr>
          <w:p w:rsidR="0082113B" w:rsidRPr="00C67151" w:rsidRDefault="0082113B">
            <w:pPr>
              <w:adjustRightInd w:val="0"/>
              <w:snapToGrid w:val="0"/>
              <w:jc w:val="center"/>
              <w:rPr>
                <w:kern w:val="0"/>
                <w:sz w:val="24"/>
                <w:shd w:val="clear" w:color="auto" w:fill="FFFFFF"/>
              </w:rPr>
            </w:pPr>
            <w:r w:rsidRPr="00C67151">
              <w:rPr>
                <w:kern w:val="0"/>
                <w:sz w:val="24"/>
                <w:shd w:val="clear" w:color="auto" w:fill="FFFFFF"/>
              </w:rPr>
              <w:t>Ⅱ</w:t>
            </w:r>
            <w:r w:rsidRPr="00C67151">
              <w:rPr>
                <w:kern w:val="0"/>
                <w:sz w:val="24"/>
                <w:shd w:val="clear" w:color="auto" w:fill="FFFFFF"/>
              </w:rPr>
              <w:t>级</w:t>
            </w:r>
          </w:p>
        </w:tc>
        <w:tc>
          <w:tcPr>
            <w:tcW w:w="1405" w:type="pct"/>
            <w:shd w:val="clear" w:color="auto" w:fill="auto"/>
            <w:vAlign w:val="center"/>
          </w:tcPr>
          <w:p w:rsidR="0082113B" w:rsidRPr="00C67151" w:rsidRDefault="0082113B" w:rsidP="00110633">
            <w:pPr>
              <w:adjustRightInd w:val="0"/>
              <w:snapToGrid w:val="0"/>
              <w:jc w:val="center"/>
              <w:rPr>
                <w:sz w:val="24"/>
              </w:rPr>
            </w:pPr>
            <w:r w:rsidRPr="00C67151">
              <w:rPr>
                <w:sz w:val="24"/>
              </w:rPr>
              <w:t>11.64</w:t>
            </w:r>
          </w:p>
        </w:tc>
        <w:tc>
          <w:tcPr>
            <w:tcW w:w="1151" w:type="pct"/>
            <w:shd w:val="clear" w:color="auto" w:fill="auto"/>
            <w:vAlign w:val="center"/>
          </w:tcPr>
          <w:p w:rsidR="0082113B" w:rsidRPr="00C67151" w:rsidRDefault="0082113B">
            <w:pPr>
              <w:adjustRightInd w:val="0"/>
              <w:snapToGrid w:val="0"/>
              <w:jc w:val="center"/>
              <w:rPr>
                <w:sz w:val="24"/>
              </w:rPr>
            </w:pPr>
            <w:r w:rsidRPr="00C67151">
              <w:rPr>
                <w:sz w:val="24"/>
              </w:rPr>
              <w:t>2.8</w:t>
            </w:r>
          </w:p>
        </w:tc>
        <w:tc>
          <w:tcPr>
            <w:tcW w:w="1428" w:type="pct"/>
            <w:vMerge/>
            <w:shd w:val="clear" w:color="auto" w:fill="auto"/>
            <w:vAlign w:val="center"/>
          </w:tcPr>
          <w:p w:rsidR="0082113B" w:rsidRPr="00C67151" w:rsidRDefault="0082113B">
            <w:pPr>
              <w:adjustRightInd w:val="0"/>
              <w:snapToGrid w:val="0"/>
              <w:jc w:val="left"/>
              <w:rPr>
                <w:kern w:val="0"/>
                <w:sz w:val="24"/>
                <w:shd w:val="clear" w:color="auto" w:fill="FFFFFF"/>
              </w:rPr>
            </w:pPr>
          </w:p>
        </w:tc>
      </w:tr>
      <w:tr w:rsidR="0082113B" w:rsidRPr="00C67151" w:rsidTr="0082113B">
        <w:trPr>
          <w:cantSplit/>
          <w:trHeight w:val="312"/>
          <w:jc w:val="center"/>
        </w:trPr>
        <w:tc>
          <w:tcPr>
            <w:tcW w:w="1016" w:type="pct"/>
            <w:shd w:val="clear" w:color="auto" w:fill="auto"/>
            <w:vAlign w:val="center"/>
          </w:tcPr>
          <w:p w:rsidR="0082113B" w:rsidRPr="00C67151" w:rsidRDefault="0082113B">
            <w:pPr>
              <w:adjustRightInd w:val="0"/>
              <w:snapToGrid w:val="0"/>
              <w:jc w:val="center"/>
              <w:rPr>
                <w:kern w:val="0"/>
                <w:sz w:val="24"/>
                <w:shd w:val="clear" w:color="auto" w:fill="FFFFFF"/>
              </w:rPr>
            </w:pPr>
            <w:r w:rsidRPr="00C67151">
              <w:rPr>
                <w:kern w:val="0"/>
                <w:sz w:val="24"/>
                <w:shd w:val="clear" w:color="auto" w:fill="FFFFFF"/>
              </w:rPr>
              <w:t>Ⅲ</w:t>
            </w:r>
            <w:r w:rsidRPr="00C67151">
              <w:rPr>
                <w:kern w:val="0"/>
                <w:sz w:val="24"/>
                <w:shd w:val="clear" w:color="auto" w:fill="FFFFFF"/>
              </w:rPr>
              <w:t>级</w:t>
            </w:r>
          </w:p>
        </w:tc>
        <w:tc>
          <w:tcPr>
            <w:tcW w:w="1405" w:type="pct"/>
            <w:shd w:val="clear" w:color="auto" w:fill="auto"/>
            <w:vAlign w:val="center"/>
          </w:tcPr>
          <w:p w:rsidR="0082113B" w:rsidRPr="00C67151" w:rsidRDefault="0082113B" w:rsidP="00110633">
            <w:pPr>
              <w:adjustRightInd w:val="0"/>
              <w:snapToGrid w:val="0"/>
              <w:jc w:val="center"/>
              <w:rPr>
                <w:sz w:val="24"/>
              </w:rPr>
            </w:pPr>
            <w:r w:rsidRPr="00C67151">
              <w:rPr>
                <w:sz w:val="24"/>
              </w:rPr>
              <w:t>22.17</w:t>
            </w:r>
          </w:p>
        </w:tc>
        <w:tc>
          <w:tcPr>
            <w:tcW w:w="1151" w:type="pct"/>
            <w:shd w:val="clear" w:color="auto" w:fill="auto"/>
            <w:vAlign w:val="center"/>
          </w:tcPr>
          <w:p w:rsidR="0082113B" w:rsidRPr="00C67151" w:rsidRDefault="0082113B">
            <w:pPr>
              <w:adjustRightInd w:val="0"/>
              <w:snapToGrid w:val="0"/>
              <w:jc w:val="center"/>
              <w:rPr>
                <w:sz w:val="24"/>
              </w:rPr>
            </w:pPr>
            <w:r w:rsidRPr="00C67151">
              <w:rPr>
                <w:sz w:val="24"/>
              </w:rPr>
              <w:t>2.7</w:t>
            </w:r>
          </w:p>
        </w:tc>
        <w:tc>
          <w:tcPr>
            <w:tcW w:w="1428" w:type="pct"/>
            <w:vMerge/>
            <w:shd w:val="clear" w:color="auto" w:fill="auto"/>
            <w:vAlign w:val="center"/>
          </w:tcPr>
          <w:p w:rsidR="0082113B" w:rsidRPr="00C67151" w:rsidRDefault="0082113B">
            <w:pPr>
              <w:adjustRightInd w:val="0"/>
              <w:snapToGrid w:val="0"/>
              <w:jc w:val="left"/>
              <w:rPr>
                <w:kern w:val="0"/>
                <w:sz w:val="24"/>
                <w:shd w:val="clear" w:color="auto" w:fill="FFFFFF"/>
              </w:rPr>
            </w:pPr>
          </w:p>
        </w:tc>
      </w:tr>
      <w:tr w:rsidR="0082113B" w:rsidRPr="00C67151" w:rsidTr="0082113B">
        <w:trPr>
          <w:cantSplit/>
          <w:trHeight w:val="312"/>
          <w:jc w:val="center"/>
        </w:trPr>
        <w:tc>
          <w:tcPr>
            <w:tcW w:w="1016" w:type="pct"/>
            <w:shd w:val="clear" w:color="auto" w:fill="auto"/>
            <w:vAlign w:val="center"/>
          </w:tcPr>
          <w:p w:rsidR="0082113B" w:rsidRPr="00C67151" w:rsidRDefault="0082113B">
            <w:pPr>
              <w:adjustRightInd w:val="0"/>
              <w:snapToGrid w:val="0"/>
              <w:jc w:val="center"/>
              <w:rPr>
                <w:kern w:val="0"/>
                <w:sz w:val="24"/>
                <w:shd w:val="clear" w:color="auto" w:fill="FFFFFF"/>
              </w:rPr>
            </w:pPr>
            <w:r w:rsidRPr="00C67151">
              <w:rPr>
                <w:kern w:val="0"/>
                <w:sz w:val="24"/>
                <w:shd w:val="clear" w:color="auto" w:fill="FFFFFF"/>
              </w:rPr>
              <w:t>Ⅳ</w:t>
            </w:r>
            <w:r w:rsidRPr="00C67151">
              <w:rPr>
                <w:kern w:val="0"/>
                <w:sz w:val="24"/>
                <w:shd w:val="clear" w:color="auto" w:fill="FFFFFF"/>
              </w:rPr>
              <w:t>级</w:t>
            </w:r>
          </w:p>
        </w:tc>
        <w:tc>
          <w:tcPr>
            <w:tcW w:w="1405" w:type="pct"/>
            <w:shd w:val="clear" w:color="auto" w:fill="auto"/>
            <w:vAlign w:val="center"/>
          </w:tcPr>
          <w:p w:rsidR="0082113B" w:rsidRPr="00C67151" w:rsidRDefault="0082113B" w:rsidP="00110633">
            <w:pPr>
              <w:adjustRightInd w:val="0"/>
              <w:snapToGrid w:val="0"/>
              <w:jc w:val="center"/>
              <w:rPr>
                <w:sz w:val="24"/>
              </w:rPr>
            </w:pPr>
            <w:r w:rsidRPr="00C67151">
              <w:rPr>
                <w:sz w:val="24"/>
              </w:rPr>
              <w:t>11.56</w:t>
            </w:r>
          </w:p>
        </w:tc>
        <w:tc>
          <w:tcPr>
            <w:tcW w:w="1151" w:type="pct"/>
            <w:shd w:val="clear" w:color="auto" w:fill="auto"/>
            <w:vAlign w:val="center"/>
          </w:tcPr>
          <w:p w:rsidR="0082113B" w:rsidRPr="00C67151" w:rsidRDefault="0082113B">
            <w:pPr>
              <w:adjustRightInd w:val="0"/>
              <w:snapToGrid w:val="0"/>
              <w:jc w:val="center"/>
              <w:rPr>
                <w:sz w:val="24"/>
              </w:rPr>
            </w:pPr>
            <w:r w:rsidRPr="00C67151">
              <w:rPr>
                <w:sz w:val="24"/>
              </w:rPr>
              <w:t>2.5</w:t>
            </w:r>
          </w:p>
        </w:tc>
        <w:tc>
          <w:tcPr>
            <w:tcW w:w="1428" w:type="pct"/>
            <w:vMerge/>
            <w:shd w:val="clear" w:color="auto" w:fill="auto"/>
            <w:vAlign w:val="center"/>
          </w:tcPr>
          <w:p w:rsidR="0082113B" w:rsidRPr="00C67151" w:rsidRDefault="0082113B">
            <w:pPr>
              <w:adjustRightInd w:val="0"/>
              <w:snapToGrid w:val="0"/>
              <w:jc w:val="left"/>
              <w:rPr>
                <w:kern w:val="0"/>
                <w:sz w:val="24"/>
                <w:shd w:val="clear" w:color="auto" w:fill="FFFFFF"/>
              </w:rPr>
            </w:pPr>
          </w:p>
        </w:tc>
      </w:tr>
      <w:tr w:rsidR="0082113B" w:rsidRPr="00C67151" w:rsidTr="0082113B">
        <w:trPr>
          <w:cantSplit/>
          <w:trHeight w:val="312"/>
          <w:jc w:val="center"/>
        </w:trPr>
        <w:tc>
          <w:tcPr>
            <w:tcW w:w="1016" w:type="pct"/>
            <w:shd w:val="clear" w:color="auto" w:fill="auto"/>
            <w:vAlign w:val="center"/>
          </w:tcPr>
          <w:p w:rsidR="0082113B" w:rsidRPr="00C67151" w:rsidRDefault="0082113B">
            <w:pPr>
              <w:adjustRightInd w:val="0"/>
              <w:snapToGrid w:val="0"/>
              <w:jc w:val="center"/>
              <w:rPr>
                <w:spacing w:val="-10"/>
                <w:kern w:val="0"/>
                <w:sz w:val="24"/>
                <w:shd w:val="clear" w:color="auto" w:fill="FFFFFF"/>
              </w:rPr>
            </w:pPr>
            <w:r w:rsidRPr="00C67151">
              <w:rPr>
                <w:spacing w:val="-10"/>
                <w:kern w:val="0"/>
                <w:sz w:val="24"/>
                <w:shd w:val="clear" w:color="auto" w:fill="FFFFFF"/>
              </w:rPr>
              <w:t>Ⅴ</w:t>
            </w:r>
            <w:r w:rsidRPr="00C67151">
              <w:rPr>
                <w:spacing w:val="-10"/>
                <w:kern w:val="0"/>
                <w:sz w:val="24"/>
                <w:shd w:val="clear" w:color="auto" w:fill="FFFFFF"/>
              </w:rPr>
              <w:t>级</w:t>
            </w:r>
          </w:p>
        </w:tc>
        <w:tc>
          <w:tcPr>
            <w:tcW w:w="1405" w:type="pct"/>
            <w:shd w:val="clear" w:color="auto" w:fill="auto"/>
            <w:vAlign w:val="center"/>
          </w:tcPr>
          <w:p w:rsidR="0082113B" w:rsidRPr="00C67151" w:rsidRDefault="0082113B" w:rsidP="00110633">
            <w:pPr>
              <w:adjustRightInd w:val="0"/>
              <w:snapToGrid w:val="0"/>
              <w:jc w:val="center"/>
              <w:rPr>
                <w:sz w:val="24"/>
              </w:rPr>
            </w:pPr>
            <w:r w:rsidRPr="00C67151">
              <w:rPr>
                <w:sz w:val="24"/>
              </w:rPr>
              <w:t>30.81</w:t>
            </w:r>
          </w:p>
        </w:tc>
        <w:tc>
          <w:tcPr>
            <w:tcW w:w="1151" w:type="pct"/>
            <w:shd w:val="clear" w:color="auto" w:fill="auto"/>
            <w:vAlign w:val="center"/>
          </w:tcPr>
          <w:p w:rsidR="0082113B" w:rsidRPr="00C67151" w:rsidRDefault="0082113B">
            <w:pPr>
              <w:adjustRightInd w:val="0"/>
              <w:snapToGrid w:val="0"/>
              <w:jc w:val="center"/>
              <w:rPr>
                <w:sz w:val="24"/>
              </w:rPr>
            </w:pPr>
            <w:r w:rsidRPr="00C67151">
              <w:rPr>
                <w:sz w:val="24"/>
              </w:rPr>
              <w:t>2.</w:t>
            </w:r>
            <w:r w:rsidRPr="00C67151">
              <w:rPr>
                <w:rFonts w:hint="eastAsia"/>
                <w:sz w:val="24"/>
              </w:rPr>
              <w:t>2</w:t>
            </w:r>
          </w:p>
        </w:tc>
        <w:tc>
          <w:tcPr>
            <w:tcW w:w="1428" w:type="pct"/>
            <w:vMerge/>
            <w:shd w:val="clear" w:color="auto" w:fill="auto"/>
            <w:vAlign w:val="center"/>
          </w:tcPr>
          <w:p w:rsidR="0082113B" w:rsidRPr="00C67151" w:rsidRDefault="0082113B">
            <w:pPr>
              <w:adjustRightInd w:val="0"/>
              <w:snapToGrid w:val="0"/>
              <w:jc w:val="left"/>
              <w:rPr>
                <w:kern w:val="0"/>
                <w:sz w:val="24"/>
                <w:shd w:val="clear" w:color="auto" w:fill="FFFFFF"/>
              </w:rPr>
            </w:pPr>
          </w:p>
        </w:tc>
      </w:tr>
      <w:tr w:rsidR="0082113B" w:rsidRPr="00C67151" w:rsidTr="0082113B">
        <w:trPr>
          <w:cantSplit/>
          <w:trHeight w:val="312"/>
          <w:jc w:val="center"/>
        </w:trPr>
        <w:tc>
          <w:tcPr>
            <w:tcW w:w="1016" w:type="pct"/>
            <w:shd w:val="clear" w:color="auto" w:fill="auto"/>
            <w:vAlign w:val="center"/>
          </w:tcPr>
          <w:p w:rsidR="0082113B" w:rsidRPr="00C67151" w:rsidRDefault="0082113B">
            <w:pPr>
              <w:adjustRightInd w:val="0"/>
              <w:snapToGrid w:val="0"/>
              <w:jc w:val="center"/>
              <w:rPr>
                <w:spacing w:val="-10"/>
                <w:kern w:val="0"/>
                <w:sz w:val="24"/>
                <w:shd w:val="clear" w:color="auto" w:fill="FFFFFF"/>
              </w:rPr>
            </w:pPr>
            <w:r w:rsidRPr="00C67151">
              <w:rPr>
                <w:kern w:val="0"/>
                <w:sz w:val="24"/>
                <w:shd w:val="clear" w:color="auto" w:fill="FFFFFF"/>
              </w:rPr>
              <w:t>中心城区主要山体</w:t>
            </w:r>
          </w:p>
        </w:tc>
        <w:tc>
          <w:tcPr>
            <w:tcW w:w="1405" w:type="pct"/>
            <w:shd w:val="clear" w:color="auto" w:fill="auto"/>
            <w:vAlign w:val="center"/>
          </w:tcPr>
          <w:p w:rsidR="0082113B" w:rsidRPr="00C67151" w:rsidRDefault="0082113B" w:rsidP="0080629C">
            <w:pPr>
              <w:adjustRightInd w:val="0"/>
              <w:snapToGrid w:val="0"/>
              <w:jc w:val="center"/>
              <w:rPr>
                <w:sz w:val="24"/>
              </w:rPr>
            </w:pPr>
            <w:r w:rsidRPr="00C67151">
              <w:rPr>
                <w:rFonts w:hint="eastAsia"/>
                <w:sz w:val="24"/>
              </w:rPr>
              <w:t>1</w:t>
            </w:r>
            <w:r w:rsidRPr="00C67151">
              <w:rPr>
                <w:sz w:val="24"/>
              </w:rPr>
              <w:t>3.2</w:t>
            </w:r>
            <w:r w:rsidR="0080629C" w:rsidRPr="00C67151">
              <w:rPr>
                <w:rFonts w:hint="eastAsia"/>
                <w:sz w:val="24"/>
              </w:rPr>
              <w:t>4</w:t>
            </w:r>
          </w:p>
        </w:tc>
        <w:tc>
          <w:tcPr>
            <w:tcW w:w="1151" w:type="pct"/>
            <w:shd w:val="clear" w:color="auto" w:fill="auto"/>
            <w:vAlign w:val="center"/>
          </w:tcPr>
          <w:p w:rsidR="0082113B" w:rsidRPr="00C67151" w:rsidRDefault="0080629C">
            <w:pPr>
              <w:adjustRightInd w:val="0"/>
              <w:snapToGrid w:val="0"/>
              <w:jc w:val="center"/>
              <w:rPr>
                <w:sz w:val="24"/>
              </w:rPr>
            </w:pPr>
            <w:r w:rsidRPr="00C67151">
              <w:rPr>
                <w:rFonts w:hint="eastAsia"/>
                <w:sz w:val="24"/>
              </w:rPr>
              <w:t>--</w:t>
            </w:r>
          </w:p>
        </w:tc>
        <w:tc>
          <w:tcPr>
            <w:tcW w:w="1428" w:type="pct"/>
            <w:vMerge/>
            <w:shd w:val="clear" w:color="auto" w:fill="auto"/>
            <w:vAlign w:val="center"/>
          </w:tcPr>
          <w:p w:rsidR="0082113B" w:rsidRPr="00C67151" w:rsidRDefault="0082113B">
            <w:pPr>
              <w:adjustRightInd w:val="0"/>
              <w:snapToGrid w:val="0"/>
              <w:jc w:val="left"/>
              <w:rPr>
                <w:kern w:val="0"/>
                <w:sz w:val="24"/>
                <w:shd w:val="clear" w:color="auto" w:fill="FFFFFF"/>
              </w:rPr>
            </w:pPr>
          </w:p>
        </w:tc>
      </w:tr>
    </w:tbl>
    <w:p w:rsidR="002A2683" w:rsidRPr="00C67151" w:rsidRDefault="00DB7F48">
      <w:pPr>
        <w:ind w:firstLineChars="200" w:firstLine="636"/>
      </w:pPr>
      <w:r w:rsidRPr="00C67151">
        <w:rPr>
          <w:rFonts w:hint="eastAsia"/>
        </w:rPr>
        <w:t>2</w:t>
      </w:r>
      <w:r w:rsidRPr="00C67151">
        <w:rPr>
          <w:rFonts w:hint="eastAsia"/>
        </w:rPr>
        <w:t>．</w:t>
      </w:r>
      <w:r w:rsidR="003A1204" w:rsidRPr="00C67151">
        <w:rPr>
          <w:rFonts w:hint="eastAsia"/>
        </w:rPr>
        <w:t>属</w:t>
      </w:r>
      <w:r w:rsidRPr="00C67151">
        <w:rPr>
          <w:rFonts w:hint="eastAsia"/>
        </w:rPr>
        <w:t>恩平市</w:t>
      </w:r>
      <w:r w:rsidR="003A1204" w:rsidRPr="00C67151">
        <w:rPr>
          <w:rFonts w:hint="eastAsia"/>
        </w:rPr>
        <w:t>中心城区范围外</w:t>
      </w:r>
      <w:r w:rsidRPr="00C67151">
        <w:rPr>
          <w:rFonts w:hint="eastAsia"/>
        </w:rPr>
        <w:t>的，商业</w:t>
      </w:r>
      <w:r w:rsidR="003A1204" w:rsidRPr="00C67151">
        <w:rPr>
          <w:rFonts w:hint="eastAsia"/>
        </w:rPr>
        <w:t>与住宅</w:t>
      </w:r>
      <w:r w:rsidRPr="00C67151">
        <w:rPr>
          <w:rFonts w:hint="eastAsia"/>
        </w:rPr>
        <w:t>用地容积率≤</w:t>
      </w:r>
      <w:r w:rsidRPr="00C67151">
        <w:rPr>
          <w:rFonts w:hint="eastAsia"/>
        </w:rPr>
        <w:t>2.0</w:t>
      </w:r>
      <w:r w:rsidRPr="00C67151">
        <w:rPr>
          <w:rFonts w:hint="eastAsia"/>
        </w:rPr>
        <w:t>，且不得超出控制性详细规划确定的上限。</w:t>
      </w:r>
    </w:p>
    <w:p w:rsidR="002A2683" w:rsidRPr="00C67151" w:rsidRDefault="00DB7F48">
      <w:pPr>
        <w:ind w:firstLineChars="200" w:firstLine="636"/>
      </w:pPr>
      <w:r w:rsidRPr="00C67151">
        <w:rPr>
          <w:rFonts w:hint="eastAsia"/>
        </w:rPr>
        <w:t>3</w:t>
      </w:r>
      <w:r w:rsidRPr="00C67151">
        <w:rPr>
          <w:rFonts w:hint="eastAsia"/>
        </w:rPr>
        <w:t>．若中心城区控制性详细规划确定的容积率上限大于容积率分区的上限或</w:t>
      </w:r>
      <w:r w:rsidR="003A1204" w:rsidRPr="00C67151">
        <w:rPr>
          <w:rFonts w:hint="eastAsia"/>
        </w:rPr>
        <w:t>恩平市中心城区范围外</w:t>
      </w:r>
      <w:r w:rsidRPr="00C67151">
        <w:rPr>
          <w:rFonts w:hint="eastAsia"/>
        </w:rPr>
        <w:t>控制性详细规划确定的容积率上限大于</w:t>
      </w:r>
      <w:r w:rsidRPr="00C67151">
        <w:rPr>
          <w:rFonts w:hint="eastAsia"/>
        </w:rPr>
        <w:t>2.0</w:t>
      </w:r>
      <w:r w:rsidRPr="00C67151">
        <w:rPr>
          <w:rFonts w:hint="eastAsia"/>
        </w:rPr>
        <w:t>，建设单位因实际建设需要按控制性详细规划确定的上限值调整容积率的，需按照本办法第九、十条的规定办理补缴超出部分容积率的土地出让价款手续，并报市人民政府批准。</w:t>
      </w:r>
    </w:p>
    <w:p w:rsidR="002A2683" w:rsidRPr="00C67151" w:rsidRDefault="00DB7F48">
      <w:pPr>
        <w:ind w:firstLineChars="200" w:firstLine="636"/>
      </w:pPr>
      <w:r w:rsidRPr="00C67151">
        <w:rPr>
          <w:rFonts w:hint="eastAsia"/>
        </w:rPr>
        <w:t>（六）</w:t>
      </w:r>
      <w:r w:rsidR="006F071F">
        <w:rPr>
          <w:rFonts w:hint="eastAsia"/>
        </w:rPr>
        <w:t>住宅、商业混合用地</w:t>
      </w:r>
      <w:r w:rsidRPr="00C67151">
        <w:rPr>
          <w:rFonts w:hint="eastAsia"/>
        </w:rPr>
        <w:t>，未明确</w:t>
      </w:r>
      <w:r w:rsidR="006F071F">
        <w:rPr>
          <w:rFonts w:hint="eastAsia"/>
        </w:rPr>
        <w:t>所占</w:t>
      </w:r>
      <w:r w:rsidRPr="00C67151">
        <w:rPr>
          <w:rFonts w:hint="eastAsia"/>
        </w:rPr>
        <w:t>比例的，</w:t>
      </w:r>
      <w:r w:rsidR="006F071F">
        <w:rPr>
          <w:rFonts w:hint="eastAsia"/>
        </w:rPr>
        <w:t>如有</w:t>
      </w:r>
      <w:r w:rsidR="006F071F" w:rsidRPr="00C67151">
        <w:rPr>
          <w:rFonts w:hint="eastAsia"/>
        </w:rPr>
        <w:t>控制性详细规划</w:t>
      </w:r>
      <w:r w:rsidR="006F071F">
        <w:rPr>
          <w:rFonts w:hint="eastAsia"/>
        </w:rPr>
        <w:t>，需按</w:t>
      </w:r>
      <w:r w:rsidR="006F071F" w:rsidRPr="00C67151">
        <w:rPr>
          <w:rFonts w:hint="eastAsia"/>
        </w:rPr>
        <w:t>控制性详细规划</w:t>
      </w:r>
      <w:r w:rsidR="009B1676">
        <w:rPr>
          <w:rFonts w:hint="eastAsia"/>
        </w:rPr>
        <w:t>的兼容比例确定，如无</w:t>
      </w:r>
      <w:r w:rsidR="009B1676" w:rsidRPr="00C67151">
        <w:rPr>
          <w:rFonts w:hint="eastAsia"/>
        </w:rPr>
        <w:t>控制性详细规划</w:t>
      </w:r>
      <w:r w:rsidR="009B1676">
        <w:rPr>
          <w:rFonts w:hint="eastAsia"/>
        </w:rPr>
        <w:t>,</w:t>
      </w:r>
      <w:r w:rsidRPr="00C67151">
        <w:rPr>
          <w:rFonts w:hint="eastAsia"/>
        </w:rPr>
        <w:t>按商业建筑面积不超过</w:t>
      </w:r>
      <w:r w:rsidRPr="00C67151">
        <w:rPr>
          <w:rFonts w:hint="eastAsia"/>
        </w:rPr>
        <w:t>30%</w:t>
      </w:r>
      <w:r w:rsidRPr="00C67151">
        <w:rPr>
          <w:rFonts w:hint="eastAsia"/>
        </w:rPr>
        <w:t>、住宅建筑面积不低于</w:t>
      </w:r>
      <w:r w:rsidRPr="00C67151">
        <w:rPr>
          <w:rFonts w:hint="eastAsia"/>
        </w:rPr>
        <w:t>70%</w:t>
      </w:r>
      <w:r w:rsidRPr="00C67151">
        <w:rPr>
          <w:rFonts w:hint="eastAsia"/>
        </w:rPr>
        <w:t>确定。</w:t>
      </w:r>
    </w:p>
    <w:p w:rsidR="002A2683" w:rsidRPr="00C67151" w:rsidRDefault="00DB7F48">
      <w:pPr>
        <w:ind w:firstLineChars="200" w:firstLine="636"/>
      </w:pPr>
      <w:r w:rsidRPr="00C67151">
        <w:rPr>
          <w:rFonts w:hint="eastAsia"/>
        </w:rPr>
        <w:t>（七）本办法实施前已出让的商业与住宅用地面积均以不动产权证载明的土地使用权面积为基准核算（</w:t>
      </w:r>
      <w:r w:rsidR="0080629C" w:rsidRPr="00C67151">
        <w:rPr>
          <w:rFonts w:hint="eastAsia"/>
        </w:rPr>
        <w:t>取得土地时已明确具体容积率指标及计算方式的除外</w:t>
      </w:r>
      <w:r w:rsidRPr="00C67151">
        <w:rPr>
          <w:rFonts w:hint="eastAsia"/>
        </w:rPr>
        <w:t>）。</w:t>
      </w:r>
    </w:p>
    <w:p w:rsidR="002A2683" w:rsidRPr="00C67151" w:rsidRDefault="00DB7F48">
      <w:pPr>
        <w:ind w:firstLineChars="200" w:firstLine="636"/>
      </w:pPr>
      <w:r w:rsidRPr="00C67151">
        <w:rPr>
          <w:rFonts w:hint="eastAsia"/>
        </w:rPr>
        <w:t>（八）以招标、挂牌、拍卖</w:t>
      </w:r>
      <w:r w:rsidR="0080629C" w:rsidRPr="00C67151">
        <w:rPr>
          <w:rFonts w:hint="eastAsia"/>
        </w:rPr>
        <w:t>等公开</w:t>
      </w:r>
      <w:r w:rsidRPr="00C67151">
        <w:rPr>
          <w:rFonts w:hint="eastAsia"/>
        </w:rPr>
        <w:t>方式受让土地使用权的，</w:t>
      </w:r>
      <w:r w:rsidRPr="00C67151">
        <w:rPr>
          <w:rFonts w:hint="eastAsia"/>
        </w:rPr>
        <w:lastRenderedPageBreak/>
        <w:t>原则上规划条件所确定的容积率指标不得调整。</w:t>
      </w:r>
    </w:p>
    <w:p w:rsidR="002A2683" w:rsidRPr="00C67151" w:rsidRDefault="00DB7F48">
      <w:pPr>
        <w:ind w:firstLineChars="200" w:firstLine="636"/>
      </w:pPr>
      <w:r w:rsidRPr="00C67151">
        <w:rPr>
          <w:rFonts w:hint="eastAsia"/>
        </w:rPr>
        <w:t>（九）其他情况根据需要可报市规委会审定。</w:t>
      </w:r>
    </w:p>
    <w:p w:rsidR="002A2683" w:rsidRPr="00C67151" w:rsidRDefault="00DB7F48" w:rsidP="003A1204">
      <w:pPr>
        <w:ind w:firstLineChars="200" w:firstLine="638"/>
      </w:pPr>
      <w:r w:rsidRPr="00C67151">
        <w:rPr>
          <w:rFonts w:hint="eastAsia"/>
          <w:b/>
        </w:rPr>
        <w:t>第六条</w:t>
      </w:r>
      <w:r w:rsidRPr="00C67151">
        <w:rPr>
          <w:rFonts w:hint="eastAsia"/>
          <w:b/>
        </w:rPr>
        <w:t xml:space="preserve"> </w:t>
      </w:r>
      <w:r w:rsidRPr="00C67151">
        <w:rPr>
          <w:rFonts w:hint="eastAsia"/>
        </w:rPr>
        <w:t>本办法从实施之日起，新出让的商业与住宅用地的容积率确定及调整按以下办法确定：</w:t>
      </w:r>
    </w:p>
    <w:p w:rsidR="002A2683" w:rsidRPr="00C67151" w:rsidRDefault="00DB7F48">
      <w:pPr>
        <w:ind w:firstLineChars="200" w:firstLine="636"/>
      </w:pPr>
      <w:r w:rsidRPr="00C67151">
        <w:rPr>
          <w:rFonts w:hint="eastAsia"/>
        </w:rPr>
        <w:t>（一）所在地域已有控制性详细规划的，容积率按控制性详细规划指标确定。</w:t>
      </w:r>
    </w:p>
    <w:p w:rsidR="002A2683" w:rsidRPr="00C67151" w:rsidRDefault="00DB7F48">
      <w:pPr>
        <w:ind w:firstLineChars="200" w:firstLine="636"/>
      </w:pPr>
      <w:r w:rsidRPr="00C67151">
        <w:rPr>
          <w:rFonts w:hint="eastAsia"/>
        </w:rPr>
        <w:t>（二）所在地域没有控制性详细规划或控制性详细规划不详的，按以下办法认定：</w:t>
      </w:r>
    </w:p>
    <w:p w:rsidR="002A2683" w:rsidRPr="00C67151" w:rsidRDefault="00DB7F48">
      <w:pPr>
        <w:ind w:firstLineChars="200" w:firstLine="636"/>
      </w:pPr>
      <w:r w:rsidRPr="00C67151">
        <w:rPr>
          <w:rFonts w:hint="eastAsia"/>
        </w:rPr>
        <w:t>1</w:t>
      </w:r>
      <w:r w:rsidRPr="00C67151">
        <w:rPr>
          <w:rFonts w:hint="eastAsia"/>
        </w:rPr>
        <w:t>．属恩平市中心城区范围的（按《恩平市国土空间总体规划（</w:t>
      </w:r>
      <w:r w:rsidRPr="00C67151">
        <w:rPr>
          <w:rFonts w:hint="eastAsia"/>
        </w:rPr>
        <w:t>2021-2035</w:t>
      </w:r>
      <w:r w:rsidRPr="00C67151">
        <w:rPr>
          <w:rFonts w:hint="eastAsia"/>
        </w:rPr>
        <w:t>年）》确定的范围，面积约</w:t>
      </w:r>
      <w:r w:rsidRPr="00C67151">
        <w:rPr>
          <w:rFonts w:hint="eastAsia"/>
        </w:rPr>
        <w:t>95.</w:t>
      </w:r>
      <w:r w:rsidR="003A1204" w:rsidRPr="00C67151">
        <w:rPr>
          <w:rFonts w:hint="eastAsia"/>
        </w:rPr>
        <w:t>70</w:t>
      </w:r>
      <w:r w:rsidRPr="00C67151">
        <w:rPr>
          <w:rFonts w:hint="eastAsia"/>
        </w:rPr>
        <w:t>平方公里），商业</w:t>
      </w:r>
      <w:r w:rsidR="00A73569" w:rsidRPr="00C67151">
        <w:rPr>
          <w:rFonts w:hint="eastAsia"/>
        </w:rPr>
        <w:t>与住宅</w:t>
      </w:r>
      <w:r w:rsidRPr="00C67151">
        <w:rPr>
          <w:rFonts w:hint="eastAsia"/>
        </w:rPr>
        <w:t>用地容积率按恩平市中心城区商业</w:t>
      </w:r>
      <w:r w:rsidR="00A73569" w:rsidRPr="00C67151">
        <w:rPr>
          <w:rFonts w:hint="eastAsia"/>
        </w:rPr>
        <w:t>与住宅</w:t>
      </w:r>
      <w:r w:rsidRPr="00C67151">
        <w:rPr>
          <w:rFonts w:hint="eastAsia"/>
        </w:rPr>
        <w:t>用地容积率分级表执行。</w:t>
      </w:r>
    </w:p>
    <w:p w:rsidR="002A2683" w:rsidRPr="00C67151" w:rsidRDefault="00DB7F48">
      <w:pPr>
        <w:ind w:firstLineChars="200" w:firstLine="636"/>
      </w:pPr>
      <w:r w:rsidRPr="00C67151">
        <w:rPr>
          <w:rFonts w:hint="eastAsia"/>
        </w:rPr>
        <w:t>2</w:t>
      </w:r>
      <w:r w:rsidRPr="00C67151">
        <w:rPr>
          <w:rFonts w:hint="eastAsia"/>
        </w:rPr>
        <w:t>．属恩平市</w:t>
      </w:r>
      <w:r w:rsidR="00A73569" w:rsidRPr="00C67151">
        <w:rPr>
          <w:rFonts w:hint="eastAsia"/>
        </w:rPr>
        <w:t>中心城区范围外</w:t>
      </w:r>
      <w:r w:rsidRPr="00C67151">
        <w:rPr>
          <w:rFonts w:hint="eastAsia"/>
        </w:rPr>
        <w:t>的，商业</w:t>
      </w:r>
      <w:r w:rsidR="00A73569" w:rsidRPr="00C67151">
        <w:rPr>
          <w:rFonts w:hint="eastAsia"/>
        </w:rPr>
        <w:t>与住宅</w:t>
      </w:r>
      <w:r w:rsidRPr="00C67151">
        <w:rPr>
          <w:rFonts w:hint="eastAsia"/>
        </w:rPr>
        <w:t>用地容积率≤</w:t>
      </w:r>
      <w:r w:rsidRPr="00C67151">
        <w:rPr>
          <w:rFonts w:hint="eastAsia"/>
        </w:rPr>
        <w:t>2.0</w:t>
      </w:r>
      <w:r w:rsidRPr="00C67151">
        <w:rPr>
          <w:rFonts w:hint="eastAsia"/>
        </w:rPr>
        <w:t>。</w:t>
      </w:r>
    </w:p>
    <w:p w:rsidR="002A2683" w:rsidRPr="00C67151" w:rsidRDefault="00DB7F48">
      <w:pPr>
        <w:ind w:firstLineChars="200" w:firstLine="636"/>
      </w:pPr>
      <w:r w:rsidRPr="00C67151">
        <w:rPr>
          <w:rFonts w:hint="eastAsia"/>
        </w:rPr>
        <w:t>（三）以招标、挂牌、拍卖</w:t>
      </w:r>
      <w:r w:rsidR="003F2EA0">
        <w:rPr>
          <w:rFonts w:hint="eastAsia"/>
        </w:rPr>
        <w:t>等</w:t>
      </w:r>
      <w:r w:rsidR="003F2EA0" w:rsidRPr="00C67151">
        <w:rPr>
          <w:rFonts w:hint="eastAsia"/>
        </w:rPr>
        <w:t>公开</w:t>
      </w:r>
      <w:r w:rsidRPr="00C67151">
        <w:rPr>
          <w:rFonts w:hint="eastAsia"/>
        </w:rPr>
        <w:t>方式受让土地使用权的，原则上规划条件所确定的容积率指标不得调整。</w:t>
      </w:r>
    </w:p>
    <w:p w:rsidR="002A2683" w:rsidRPr="00C67151" w:rsidRDefault="00DB7F48" w:rsidP="003A1204">
      <w:pPr>
        <w:ind w:firstLineChars="200" w:firstLine="638"/>
      </w:pPr>
      <w:r w:rsidRPr="00C67151">
        <w:rPr>
          <w:rFonts w:hint="eastAsia"/>
          <w:b/>
        </w:rPr>
        <w:t>第七条</w:t>
      </w:r>
      <w:r w:rsidRPr="00C67151">
        <w:rPr>
          <w:rFonts w:hint="eastAsia"/>
        </w:rPr>
        <w:t xml:space="preserve">  </w:t>
      </w:r>
      <w:r w:rsidRPr="00C67151">
        <w:rPr>
          <w:rFonts w:hint="eastAsia"/>
        </w:rPr>
        <w:t>商业核心区、城市标志性地段、历史文化保护区、特色风貌保护区、风景名胜区等特殊地段，其出让土地的容积率应根据相应区域的要求、城市设计和景观需要，由市自然资源局制订方案，报市规委会确定。</w:t>
      </w:r>
    </w:p>
    <w:p w:rsidR="002A2683" w:rsidRPr="00C67151" w:rsidRDefault="00DB7F48" w:rsidP="003A1204">
      <w:pPr>
        <w:ind w:firstLineChars="200" w:firstLine="638"/>
      </w:pPr>
      <w:r w:rsidRPr="00C67151">
        <w:rPr>
          <w:rFonts w:hint="eastAsia"/>
          <w:b/>
        </w:rPr>
        <w:t>第八条</w:t>
      </w:r>
      <w:r w:rsidRPr="00C67151">
        <w:rPr>
          <w:rFonts w:hint="eastAsia"/>
        </w:rPr>
        <w:t xml:space="preserve">  </w:t>
      </w:r>
      <w:r w:rsidRPr="00C67151">
        <w:rPr>
          <w:rFonts w:hint="eastAsia"/>
        </w:rPr>
        <w:t>拟调整的容积率符合地块控制性详细规划要求的，</w:t>
      </w:r>
      <w:r w:rsidRPr="00C67151">
        <w:rPr>
          <w:rFonts w:hint="eastAsia"/>
        </w:rPr>
        <w:lastRenderedPageBreak/>
        <w:t>应按以下程序调整：</w:t>
      </w:r>
    </w:p>
    <w:p w:rsidR="002A2683" w:rsidRPr="00C67151" w:rsidRDefault="00DB7F48">
      <w:pPr>
        <w:ind w:firstLineChars="200" w:firstLine="636"/>
      </w:pPr>
      <w:r w:rsidRPr="00C67151">
        <w:rPr>
          <w:rFonts w:hint="eastAsia"/>
        </w:rPr>
        <w:t>（一）建设单位或个人向市自然资源局提出书面申请报告，说明调整的理由并附拟调整方案，调整方案应表明调整前后的用地总平面布局方案、主要经济技术指标、建筑空间环境、与周围用地和建筑的关系、交通影响评价等内容。</w:t>
      </w:r>
    </w:p>
    <w:p w:rsidR="002A2683" w:rsidRPr="00C67151" w:rsidRDefault="00DB7F48">
      <w:pPr>
        <w:ind w:firstLineChars="200" w:firstLine="636"/>
      </w:pPr>
      <w:r w:rsidRPr="00C67151">
        <w:rPr>
          <w:rFonts w:hint="eastAsia"/>
        </w:rPr>
        <w:t>（二）市自然资源局应组织技术人员、相关部门、专家对容积率修改的必要性进行专题论证；专题论证应根据项目情况确定专家的专业构成和数量，从建立的专家库中随机抽取，论证意见应当附专家名单和本人签名，保证专题论证的公正性、科学性。专家与申请调整容积率的单位或个人有利害关系的，应当回避。</w:t>
      </w:r>
    </w:p>
    <w:p w:rsidR="002A2683" w:rsidRPr="00C67151" w:rsidRDefault="00DB7F48">
      <w:pPr>
        <w:ind w:firstLineChars="200" w:firstLine="636"/>
      </w:pPr>
      <w:r w:rsidRPr="00C67151">
        <w:rPr>
          <w:rFonts w:hint="eastAsia"/>
        </w:rPr>
        <w:t>（三）市自然资源局应当通过网上和现场进行公示等方式征求规划地段内利害关系人的意见，必要时应进行走访、座谈或组织听证。</w:t>
      </w:r>
    </w:p>
    <w:p w:rsidR="002A2683" w:rsidRPr="00C67151" w:rsidRDefault="00DB7F48">
      <w:pPr>
        <w:ind w:firstLineChars="200" w:firstLine="636"/>
      </w:pPr>
      <w:r w:rsidRPr="00C67151">
        <w:rPr>
          <w:rFonts w:hint="eastAsia"/>
        </w:rPr>
        <w:t>（四）市自然资源局依法提出修改或不修改建议并附有关部门意见、论证、公示等情况报市规委会审议；经审议同意后，市自然资源局将容积率调整方案和应补缴的土地出让价格，报市人民政府批准。</w:t>
      </w:r>
    </w:p>
    <w:p w:rsidR="002A2683" w:rsidRPr="00C67151" w:rsidRDefault="00DB7F48">
      <w:pPr>
        <w:ind w:firstLineChars="200" w:firstLine="636"/>
      </w:pPr>
      <w:r w:rsidRPr="00C67151">
        <w:rPr>
          <w:rFonts w:hint="eastAsia"/>
        </w:rPr>
        <w:t>（五）经批准调整增加容积率的，建设单位应于自批准之日起六个月内到市自然资源局办理相关用地手续，签订国有建设用地使用权出让合同补充协议，办理补缴土地出让价款后，办理规划调整手续。</w:t>
      </w:r>
    </w:p>
    <w:p w:rsidR="002A2683" w:rsidRPr="00C67151" w:rsidRDefault="00DB7F48" w:rsidP="003A1204">
      <w:pPr>
        <w:ind w:firstLineChars="200" w:firstLine="638"/>
      </w:pPr>
      <w:r w:rsidRPr="00C67151">
        <w:rPr>
          <w:rFonts w:hint="eastAsia"/>
          <w:b/>
        </w:rPr>
        <w:lastRenderedPageBreak/>
        <w:t>第九条</w:t>
      </w:r>
      <w:r w:rsidRPr="00C67151">
        <w:rPr>
          <w:rFonts w:hint="eastAsia"/>
        </w:rPr>
        <w:t xml:space="preserve">  </w:t>
      </w:r>
      <w:r w:rsidRPr="00C67151">
        <w:rPr>
          <w:rFonts w:hint="eastAsia"/>
        </w:rPr>
        <w:t>出让土地开发项目竣工验收时，因技术误差等原因导致项目总建筑面积超过批准指标的</w:t>
      </w:r>
      <w:r w:rsidRPr="00C67151">
        <w:rPr>
          <w:rFonts w:hint="eastAsia"/>
        </w:rPr>
        <w:t>1%</w:t>
      </w:r>
      <w:r w:rsidRPr="00C67151">
        <w:rPr>
          <w:rFonts w:hint="eastAsia"/>
        </w:rPr>
        <w:t>或</w:t>
      </w:r>
      <w:r w:rsidRPr="00C67151">
        <w:rPr>
          <w:rFonts w:hint="eastAsia"/>
        </w:rPr>
        <w:t>100</w:t>
      </w:r>
      <w:r w:rsidRPr="00C67151">
        <w:rPr>
          <w:rFonts w:hint="eastAsia"/>
        </w:rPr>
        <w:t>平方米以上的，超出部分按增加容积率办理。</w:t>
      </w:r>
    </w:p>
    <w:p w:rsidR="002A2683" w:rsidRPr="00C67151" w:rsidRDefault="00DB7F48" w:rsidP="003A1204">
      <w:pPr>
        <w:ind w:firstLineChars="200" w:firstLine="638"/>
      </w:pPr>
      <w:r w:rsidRPr="00C67151">
        <w:rPr>
          <w:rFonts w:hint="eastAsia"/>
          <w:b/>
        </w:rPr>
        <w:t>第十条</w:t>
      </w:r>
      <w:r w:rsidRPr="00C67151">
        <w:rPr>
          <w:rFonts w:hint="eastAsia"/>
        </w:rPr>
        <w:t xml:space="preserve">  </w:t>
      </w:r>
      <w:r w:rsidRPr="00C67151">
        <w:rPr>
          <w:rFonts w:hint="eastAsia"/>
        </w:rPr>
        <w:t>历史用地已办理了不动产权证书和建设用地规划许可证，用地范围内有部分用地被划入规划城市道路或公共设施用地，造成用地面积减少的，该减少部分面积对应的建设面积指标可转移至建设用地。转移后减少的用地不再予以补偿，转移后的容积率和总计容建筑面积不得超出控制性详细规划所控制的上限。办理容积率转移的报市自然资源局审批。</w:t>
      </w:r>
    </w:p>
    <w:p w:rsidR="002A2683" w:rsidRPr="00C67151" w:rsidRDefault="00DB7F48" w:rsidP="003A1204">
      <w:pPr>
        <w:ind w:firstLineChars="200" w:firstLine="638"/>
      </w:pPr>
      <w:r w:rsidRPr="00C67151">
        <w:rPr>
          <w:rFonts w:hint="eastAsia"/>
          <w:b/>
        </w:rPr>
        <w:t>第十一条</w:t>
      </w:r>
      <w:r w:rsidRPr="00C67151">
        <w:rPr>
          <w:rFonts w:hint="eastAsia"/>
        </w:rPr>
        <w:t xml:space="preserve">  </w:t>
      </w:r>
      <w:r w:rsidRPr="00C67151">
        <w:rPr>
          <w:rFonts w:hint="eastAsia"/>
        </w:rPr>
        <w:t>容积率按以下公式计算</w:t>
      </w:r>
    </w:p>
    <w:p w:rsidR="002A2683" w:rsidRPr="00C67151" w:rsidRDefault="00DB7F48">
      <w:pPr>
        <w:ind w:firstLineChars="200" w:firstLine="636"/>
      </w:pPr>
      <w:r w:rsidRPr="00C67151">
        <w:rPr>
          <w:rFonts w:hint="eastAsia"/>
        </w:rPr>
        <w:t>容积率</w:t>
      </w:r>
      <w:r w:rsidRPr="00C67151">
        <w:rPr>
          <w:rFonts w:hint="eastAsia"/>
        </w:rPr>
        <w:t>=</w:t>
      </w:r>
      <w:r w:rsidRPr="00C67151">
        <w:rPr>
          <w:rFonts w:hint="eastAsia"/>
        </w:rPr>
        <w:t>计算容积率总建筑面积÷建设用地面积</w:t>
      </w:r>
    </w:p>
    <w:p w:rsidR="002A2683" w:rsidRPr="00C67151" w:rsidRDefault="00DB7F48">
      <w:pPr>
        <w:ind w:firstLineChars="200" w:firstLine="636"/>
      </w:pPr>
      <w:r w:rsidRPr="00C67151">
        <w:rPr>
          <w:rFonts w:hint="eastAsia"/>
        </w:rPr>
        <w:t>建设用地面积指净用地面积。净用地面积以市自然资源局正式划定用地范围的面积为准。不计入净用地面积的用地主要包括：城市道路、公共设施用地、城市河涌及其他有关控制线范围内的用地。</w:t>
      </w:r>
    </w:p>
    <w:p w:rsidR="002A2683" w:rsidRPr="00C67151" w:rsidRDefault="00DB7F48" w:rsidP="003A1204">
      <w:pPr>
        <w:ind w:firstLineChars="200" w:firstLine="638"/>
      </w:pPr>
      <w:r w:rsidRPr="00C67151">
        <w:rPr>
          <w:rFonts w:hint="eastAsia"/>
          <w:b/>
        </w:rPr>
        <w:t>第十二条</w:t>
      </w:r>
      <w:r w:rsidRPr="00C67151">
        <w:rPr>
          <w:rFonts w:hint="eastAsia"/>
        </w:rPr>
        <w:t xml:space="preserve"> </w:t>
      </w:r>
      <w:r w:rsidRPr="00C67151">
        <w:rPr>
          <w:rFonts w:hint="eastAsia"/>
        </w:rPr>
        <w:t>本办法由市自然资源局负责解释。</w:t>
      </w:r>
    </w:p>
    <w:p w:rsidR="002A2683" w:rsidRPr="00C67151" w:rsidRDefault="00DB7F48" w:rsidP="003A1204">
      <w:pPr>
        <w:ind w:firstLineChars="200" w:firstLine="638"/>
      </w:pPr>
      <w:r w:rsidRPr="00C67151">
        <w:rPr>
          <w:rFonts w:hint="eastAsia"/>
          <w:b/>
        </w:rPr>
        <w:t>第十三条</w:t>
      </w:r>
      <w:r w:rsidR="00930FAC" w:rsidRPr="00930FAC">
        <w:rPr>
          <w:rFonts w:hint="eastAsia"/>
        </w:rPr>
        <w:t>本办法自印发之日起施行，有效期</w:t>
      </w:r>
      <w:r w:rsidR="00930FAC" w:rsidRPr="00930FAC">
        <w:rPr>
          <w:rFonts w:hint="eastAsia"/>
        </w:rPr>
        <w:t>5</w:t>
      </w:r>
      <w:r w:rsidR="00930FAC" w:rsidRPr="00930FAC">
        <w:rPr>
          <w:rFonts w:hint="eastAsia"/>
        </w:rPr>
        <w:t>年。《恩平市商业与住宅用地容积率管理办法》（恩府办〔</w:t>
      </w:r>
      <w:r w:rsidR="00930FAC" w:rsidRPr="00930FAC">
        <w:rPr>
          <w:rFonts w:hint="eastAsia"/>
        </w:rPr>
        <w:t>2021</w:t>
      </w:r>
      <w:r w:rsidR="00930FAC" w:rsidRPr="00930FAC">
        <w:rPr>
          <w:rFonts w:hint="eastAsia"/>
        </w:rPr>
        <w:t>〕</w:t>
      </w:r>
      <w:r w:rsidR="00930FAC" w:rsidRPr="00930FAC">
        <w:rPr>
          <w:rFonts w:hint="eastAsia"/>
        </w:rPr>
        <w:t>6</w:t>
      </w:r>
      <w:r w:rsidR="00930FAC">
        <w:rPr>
          <w:rFonts w:hint="eastAsia"/>
        </w:rPr>
        <w:t>号）同时废止</w:t>
      </w:r>
      <w:r w:rsidRPr="00C67151">
        <w:rPr>
          <w:rFonts w:hint="eastAsia"/>
        </w:rPr>
        <w:t>。</w:t>
      </w:r>
    </w:p>
    <w:p w:rsidR="002A2683" w:rsidRPr="00C67151" w:rsidRDefault="002A2683">
      <w:pPr>
        <w:ind w:firstLineChars="200" w:firstLine="636"/>
      </w:pPr>
    </w:p>
    <w:sectPr w:rsidR="002A2683" w:rsidRPr="00C67151" w:rsidSect="002A2683">
      <w:footerReference w:type="default" r:id="rId7"/>
      <w:pgSz w:w="11906" w:h="16838"/>
      <w:pgMar w:top="1985" w:right="1474" w:bottom="1701" w:left="1531" w:header="1361" w:footer="1644" w:gutter="0"/>
      <w:cols w:space="425"/>
      <w:docGrid w:type="linesAndChars" w:linePitch="592" w:charSpace="-43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2D2C" w:rsidRDefault="00F62D2C" w:rsidP="002A2683">
      <w:r>
        <w:separator/>
      </w:r>
    </w:p>
  </w:endnote>
  <w:endnote w:type="continuationSeparator" w:id="1">
    <w:p w:rsidR="00F62D2C" w:rsidRDefault="00F62D2C" w:rsidP="002A26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24853"/>
    </w:sdtPr>
    <w:sdtContent>
      <w:p w:rsidR="002A2683" w:rsidRDefault="00423170">
        <w:pPr>
          <w:pStyle w:val="a3"/>
          <w:jc w:val="right"/>
        </w:pPr>
        <w:r w:rsidRPr="00423170">
          <w:fldChar w:fldCharType="begin"/>
        </w:r>
        <w:r w:rsidR="00DB7F48">
          <w:instrText xml:space="preserve"> PAGE   \* MERGEFORMAT </w:instrText>
        </w:r>
        <w:r w:rsidRPr="00423170">
          <w:fldChar w:fldCharType="separate"/>
        </w:r>
        <w:r w:rsidR="000F2200" w:rsidRPr="000F2200">
          <w:rPr>
            <w:noProof/>
            <w:lang w:val="zh-CN"/>
          </w:rPr>
          <w:t>6</w:t>
        </w:r>
        <w:r>
          <w:rPr>
            <w:lang w:val="zh-CN"/>
          </w:rPr>
          <w:fldChar w:fldCharType="end"/>
        </w:r>
      </w:p>
    </w:sdtContent>
  </w:sdt>
  <w:p w:rsidR="002A2683" w:rsidRDefault="002A268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2D2C" w:rsidRDefault="00F62D2C" w:rsidP="002A2683">
      <w:r>
        <w:separator/>
      </w:r>
    </w:p>
  </w:footnote>
  <w:footnote w:type="continuationSeparator" w:id="1">
    <w:p w:rsidR="00F62D2C" w:rsidRDefault="00F62D2C" w:rsidP="002A26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GQ1NWQ2MmM0YzJjNjBmNDFjNGRiYTIzNGVhOGUyMTAifQ=="/>
  </w:docVars>
  <w:rsids>
    <w:rsidRoot w:val="00DF5C29"/>
    <w:rsid w:val="00056387"/>
    <w:rsid w:val="000D0704"/>
    <w:rsid w:val="000F2200"/>
    <w:rsid w:val="00103471"/>
    <w:rsid w:val="001137CE"/>
    <w:rsid w:val="00273877"/>
    <w:rsid w:val="002A2683"/>
    <w:rsid w:val="002A6104"/>
    <w:rsid w:val="002B7595"/>
    <w:rsid w:val="00356608"/>
    <w:rsid w:val="003A1204"/>
    <w:rsid w:val="003D2738"/>
    <w:rsid w:val="003D4EFC"/>
    <w:rsid w:val="003E4A4B"/>
    <w:rsid w:val="003F2EA0"/>
    <w:rsid w:val="00423170"/>
    <w:rsid w:val="0046701C"/>
    <w:rsid w:val="00471476"/>
    <w:rsid w:val="004A242C"/>
    <w:rsid w:val="00563FE8"/>
    <w:rsid w:val="005B0AA7"/>
    <w:rsid w:val="005B78B4"/>
    <w:rsid w:val="00627A7B"/>
    <w:rsid w:val="0064573C"/>
    <w:rsid w:val="006604EC"/>
    <w:rsid w:val="006652BB"/>
    <w:rsid w:val="006F071F"/>
    <w:rsid w:val="00726637"/>
    <w:rsid w:val="00755AE9"/>
    <w:rsid w:val="00777271"/>
    <w:rsid w:val="007E1CF9"/>
    <w:rsid w:val="00802109"/>
    <w:rsid w:val="0080629C"/>
    <w:rsid w:val="0081272E"/>
    <w:rsid w:val="0082113B"/>
    <w:rsid w:val="00832EAF"/>
    <w:rsid w:val="0088100D"/>
    <w:rsid w:val="00903AC1"/>
    <w:rsid w:val="00930FAC"/>
    <w:rsid w:val="009331CD"/>
    <w:rsid w:val="009A1B19"/>
    <w:rsid w:val="009B1676"/>
    <w:rsid w:val="009C56FF"/>
    <w:rsid w:val="00A43A6A"/>
    <w:rsid w:val="00A63780"/>
    <w:rsid w:val="00A73569"/>
    <w:rsid w:val="00AA042D"/>
    <w:rsid w:val="00AD5FAC"/>
    <w:rsid w:val="00B25BF7"/>
    <w:rsid w:val="00B414BE"/>
    <w:rsid w:val="00B9604D"/>
    <w:rsid w:val="00C67151"/>
    <w:rsid w:val="00D046F6"/>
    <w:rsid w:val="00D521D9"/>
    <w:rsid w:val="00DB7F48"/>
    <w:rsid w:val="00DF5C29"/>
    <w:rsid w:val="00E4216D"/>
    <w:rsid w:val="00E75D1B"/>
    <w:rsid w:val="00EB3D38"/>
    <w:rsid w:val="00EB77C0"/>
    <w:rsid w:val="00ED4E6C"/>
    <w:rsid w:val="00F62D2C"/>
    <w:rsid w:val="00F862A7"/>
    <w:rsid w:val="15F815D5"/>
    <w:rsid w:val="18D54F7A"/>
    <w:rsid w:val="35AB6865"/>
    <w:rsid w:val="3C9601DB"/>
    <w:rsid w:val="415557F7"/>
    <w:rsid w:val="48AD5706"/>
    <w:rsid w:val="51422751"/>
    <w:rsid w:val="6A2442BC"/>
    <w:rsid w:val="754340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2683"/>
    <w:pPr>
      <w:widowControl w:val="0"/>
      <w:jc w:val="both"/>
    </w:pPr>
    <w:rPr>
      <w:rFonts w:ascii="Times New Roman" w:eastAsia="仿宋_GB2312"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A2683"/>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A268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page number"/>
    <w:basedOn w:val="a0"/>
    <w:qFormat/>
    <w:rsid w:val="002A2683"/>
  </w:style>
  <w:style w:type="character" w:customStyle="1" w:styleId="Char0">
    <w:name w:val="页眉 Char"/>
    <w:basedOn w:val="a0"/>
    <w:link w:val="a4"/>
    <w:uiPriority w:val="99"/>
    <w:semiHidden/>
    <w:qFormat/>
    <w:rsid w:val="002A2683"/>
    <w:rPr>
      <w:sz w:val="18"/>
      <w:szCs w:val="18"/>
    </w:rPr>
  </w:style>
  <w:style w:type="character" w:customStyle="1" w:styleId="Char">
    <w:name w:val="页脚 Char"/>
    <w:basedOn w:val="a0"/>
    <w:link w:val="a3"/>
    <w:uiPriority w:val="99"/>
    <w:qFormat/>
    <w:rsid w:val="002A2683"/>
    <w:rPr>
      <w:sz w:val="18"/>
      <w:szCs w:val="18"/>
    </w:rPr>
  </w:style>
  <w:style w:type="paragraph" w:styleId="a6">
    <w:name w:val="Balloon Text"/>
    <w:basedOn w:val="a"/>
    <w:link w:val="Char1"/>
    <w:uiPriority w:val="99"/>
    <w:semiHidden/>
    <w:unhideWhenUsed/>
    <w:rsid w:val="003A1204"/>
    <w:rPr>
      <w:sz w:val="18"/>
      <w:szCs w:val="18"/>
    </w:rPr>
  </w:style>
  <w:style w:type="character" w:customStyle="1" w:styleId="Char1">
    <w:name w:val="批注框文本 Char"/>
    <w:basedOn w:val="a0"/>
    <w:link w:val="a6"/>
    <w:uiPriority w:val="99"/>
    <w:semiHidden/>
    <w:rsid w:val="003A1204"/>
    <w:rPr>
      <w:rFonts w:ascii="Times New Roman" w:eastAsia="仿宋_GB2312"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511595-BEF9-4307-82B2-14A2F0F05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Pages>
  <Words>434</Words>
  <Characters>2478</Characters>
  <Application>Microsoft Office Word</Application>
  <DocSecurity>0</DocSecurity>
  <Lines>20</Lines>
  <Paragraphs>5</Paragraphs>
  <ScaleCrop>false</ScaleCrop>
  <Company>Microsoft Corp.</Company>
  <LinksUpToDate>false</LinksUpToDate>
  <CharactersWithSpaces>2907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冼昌婵(UE000358)</dc:creator>
  <cp:lastModifiedBy>冼昌婵(UE000358)</cp:lastModifiedBy>
  <cp:revision>33</cp:revision>
  <cp:lastPrinted>2023-07-21T06:59:00Z</cp:lastPrinted>
  <dcterms:created xsi:type="dcterms:W3CDTF">2020-06-12T03:00:00Z</dcterms:created>
  <dcterms:modified xsi:type="dcterms:W3CDTF">2024-02-22T06:32:00Z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3F8AF3AE31F34CB9B32BA0FDD6E62983_12</vt:lpwstr>
  </property>
</Properties>
</file>